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723CBC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Segunda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1BD7"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D833CC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7 de Mayo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D01A38" w:rsidRPr="009005E5" w:rsidRDefault="00D01A38" w:rsidP="009005E5">
      <w:pPr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6C3743" w:rsidRPr="00D833CC" w:rsidRDefault="006C3743" w:rsidP="00D833CC">
      <w:pPr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6C3743" w:rsidRDefault="006C3743" w:rsidP="00987887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6373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Inspección General de Justicia: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principales modificaciones y derogación de normas (plazo de duración de sociedades, sociedades con objeto múltiple, contenido mínimo de instrumentos públicos, conjuntos inmobiliarios, sociedades constituidas en el extranjero, sociedades por acciones simplificadas</w:t>
      </w:r>
      <w:r w:rsidR="00D833CC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Pendiente reunión anterior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)</w:t>
      </w:r>
    </w:p>
    <w:p w:rsidR="00D833CC" w:rsidRDefault="00D833CC" w:rsidP="00D833CC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1E22D1" w:rsidRDefault="00D833CC" w:rsidP="001E22D1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D833C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de sellos: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Ciudad Autónoma de Buenos Aires. Boleto sin posesión. Destino de vivienda. Exención</w:t>
      </w:r>
      <w:r w:rsidR="00022F9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Expo</w:t>
      </w:r>
      <w:r w:rsidR="00D2265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sición a cargo de la Dra. </w:t>
      </w:r>
      <w:r w:rsidR="00022F9D" w:rsidRPr="001E22D1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Eugenia Garay</w:t>
      </w:r>
    </w:p>
    <w:p w:rsidR="00D833CC" w:rsidRPr="00550DA9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Default="00D833CC" w:rsidP="00D833C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550DA9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a las ganan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cias. Fideicomiso transparente (puro)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Transmisión de dominio de inmueble. Agente de retención</w:t>
      </w: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  <w:r w:rsidRPr="00D833C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C</w:t>
      </w:r>
      <w:r w:rsidR="00022F9D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ertificado de transferencia de automotores (C</w:t>
      </w:r>
      <w:r w:rsidRPr="00D833C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ETA</w:t>
      </w:r>
      <w:r w:rsidR="00022F9D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):</w:t>
      </w:r>
      <w:r w:rsidR="00022F9D" w:rsidRPr="00022F9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derogación</w:t>
      </w: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</w:t>
      </w:r>
      <w:r w:rsidRPr="00D833C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eforma fiscal: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estado actual</w:t>
      </w:r>
    </w:p>
    <w:p w:rsidR="00987887" w:rsidRPr="00D81C95" w:rsidRDefault="00987887" w:rsidP="00D81C95">
      <w:pPr>
        <w:shd w:val="clear" w:color="auto" w:fill="FFFFFF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6C3743" w:rsidRDefault="006C374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Pr="004A5611" w:rsidRDefault="00B40836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3D1BBD" w:rsidRDefault="003D1BBD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6C3743" w:rsidRDefault="00762EE2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Arial"/>
          <w:color w:val="333333"/>
          <w:sz w:val="28"/>
          <w:szCs w:val="28"/>
        </w:rPr>
        <w:t>1</w:t>
      </w:r>
      <w:r w:rsidR="006C3743">
        <w:rPr>
          <w:rFonts w:ascii="Garamond" w:hAnsi="Garamond" w:cs="Arial"/>
          <w:color w:val="333333"/>
          <w:sz w:val="28"/>
          <w:szCs w:val="28"/>
        </w:rPr>
        <w:t>.- Res</w:t>
      </w:r>
      <w:r>
        <w:rPr>
          <w:rFonts w:ascii="Garamond" w:hAnsi="Garamond" w:cs="Arial"/>
          <w:color w:val="333333"/>
          <w:sz w:val="28"/>
          <w:szCs w:val="28"/>
        </w:rPr>
        <w:t>. (IGJ) nos. 1, 2, 3, 4, 5, 7,</w:t>
      </w:r>
      <w:r w:rsidR="006C3743">
        <w:rPr>
          <w:rFonts w:ascii="Garamond" w:hAnsi="Garamond" w:cs="Arial"/>
          <w:color w:val="333333"/>
          <w:sz w:val="28"/>
          <w:szCs w:val="28"/>
        </w:rPr>
        <w:t xml:space="preserve"> 8</w:t>
      </w:r>
      <w:r>
        <w:rPr>
          <w:rFonts w:ascii="Garamond" w:hAnsi="Garamond" w:cs="Arial"/>
          <w:color w:val="333333"/>
          <w:sz w:val="28"/>
          <w:szCs w:val="28"/>
        </w:rPr>
        <w:t>, 11 y 12</w:t>
      </w:r>
    </w:p>
    <w:p w:rsidR="006C3743" w:rsidRDefault="006C3743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762EE2" w:rsidRDefault="00762EE2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Arial"/>
          <w:color w:val="333333"/>
          <w:sz w:val="28"/>
          <w:szCs w:val="28"/>
        </w:rPr>
        <w:t>2.- RG (AFIP) nº 5505/2024</w:t>
      </w:r>
    </w:p>
    <w:p w:rsidR="00D81C95" w:rsidRDefault="00D81C95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202813" w:rsidRDefault="00202813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6D0A14" w:rsidRPr="004A5611" w:rsidRDefault="006D0A14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>
        <w:rPr>
          <w:rFonts w:ascii="Garamond" w:hAnsi="Garamond" w:cs="Arial"/>
          <w:b/>
          <w:bCs/>
          <w:color w:val="333333"/>
          <w:sz w:val="28"/>
          <w:szCs w:val="28"/>
        </w:rPr>
        <w:t>I.- Dictámenes e Informes</w:t>
      </w:r>
    </w:p>
    <w:p w:rsidR="00762EE2" w:rsidRPr="006D0A14" w:rsidRDefault="00762EE2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C84320" w:rsidRDefault="006D0A14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  <w:r w:rsidRPr="006D0A14">
        <w:rPr>
          <w:rFonts w:ascii="Garamond" w:hAnsi="Garamond" w:cs="Times New Roman"/>
          <w:color w:val="000000"/>
          <w:sz w:val="28"/>
          <w:szCs w:val="28"/>
        </w:rPr>
        <w:t xml:space="preserve">1.- </w:t>
      </w:r>
      <w:r>
        <w:rPr>
          <w:rFonts w:ascii="Garamond" w:hAnsi="Garamond" w:cs="Calibri"/>
          <w:color w:val="000000"/>
          <w:sz w:val="28"/>
          <w:szCs w:val="28"/>
        </w:rPr>
        <w:t>IF-2014-11996462</w:t>
      </w:r>
      <w:r w:rsidRPr="006D0A14">
        <w:rPr>
          <w:rFonts w:ascii="Garamond" w:hAnsi="Garamond" w:cs="Calibri"/>
          <w:color w:val="000000"/>
          <w:sz w:val="28"/>
          <w:szCs w:val="28"/>
        </w:rPr>
        <w:t>-DGANFA</w:t>
      </w:r>
      <w:r>
        <w:rPr>
          <w:rFonts w:ascii="Garamond" w:hAnsi="Garamond" w:cs="Calibri"/>
          <w:color w:val="000000"/>
          <w:sz w:val="28"/>
          <w:szCs w:val="28"/>
        </w:rPr>
        <w:t>. CABA. 22/08/2014</w:t>
      </w:r>
    </w:p>
    <w:p w:rsidR="006D0A14" w:rsidRDefault="006D0A14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p w:rsidR="006D0A14" w:rsidRPr="006D0A14" w:rsidRDefault="006D0A14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  <w:r>
        <w:rPr>
          <w:rFonts w:ascii="Garamond" w:hAnsi="Garamond" w:cs="Calibri"/>
          <w:color w:val="000000"/>
          <w:sz w:val="28"/>
          <w:szCs w:val="28"/>
        </w:rPr>
        <w:t xml:space="preserve">2.- </w:t>
      </w:r>
      <w:r w:rsidRPr="006D0A14">
        <w:rPr>
          <w:rFonts w:ascii="Times New Roman" w:eastAsia="Times New Roman" w:hAnsi="Times New Roman" w:cs="Times New Roman"/>
          <w:sz w:val="28"/>
          <w:szCs w:val="28"/>
          <w:lang w:eastAsia="es-AR"/>
        </w:rPr>
        <w:t>IF-13452349/2016-</w:t>
      </w:r>
      <w:r w:rsidRPr="006D0A14">
        <w:rPr>
          <w:rFonts w:ascii="Garamond" w:hAnsi="Garamond" w:cs="Calibri"/>
          <w:color w:val="000000"/>
          <w:sz w:val="28"/>
          <w:szCs w:val="28"/>
        </w:rPr>
        <w:t xml:space="preserve"> DGANFA. CABA. 20/05/2016</w:t>
      </w:r>
    </w:p>
    <w:p w:rsidR="006D0A14" w:rsidRDefault="006D0A14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p w:rsidR="00A01D32" w:rsidRPr="00202813" w:rsidRDefault="00A01D32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  <w:bookmarkStart w:id="0" w:name="_GoBack"/>
      <w:bookmarkEnd w:id="0"/>
    </w:p>
    <w:sectPr w:rsidR="00A01D32" w:rsidRPr="002028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06E" w:rsidRDefault="0093006E" w:rsidP="00EB63EC">
      <w:pPr>
        <w:spacing w:after="0" w:line="240" w:lineRule="auto"/>
      </w:pPr>
      <w:r>
        <w:separator/>
      </w:r>
    </w:p>
  </w:endnote>
  <w:endnote w:type="continuationSeparator" w:id="0">
    <w:p w:rsidR="0093006E" w:rsidRDefault="0093006E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06E" w:rsidRDefault="0093006E" w:rsidP="00EB63EC">
      <w:pPr>
        <w:spacing w:after="0" w:line="240" w:lineRule="auto"/>
      </w:pPr>
      <w:r>
        <w:separator/>
      </w:r>
    </w:p>
  </w:footnote>
  <w:footnote w:type="continuationSeparator" w:id="0">
    <w:p w:rsidR="0093006E" w:rsidRDefault="0093006E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22F9D"/>
    <w:rsid w:val="0003563A"/>
    <w:rsid w:val="000B56BB"/>
    <w:rsid w:val="001059E5"/>
    <w:rsid w:val="001068EE"/>
    <w:rsid w:val="00111A8D"/>
    <w:rsid w:val="00142458"/>
    <w:rsid w:val="00155790"/>
    <w:rsid w:val="0016373C"/>
    <w:rsid w:val="001C32A8"/>
    <w:rsid w:val="001C4101"/>
    <w:rsid w:val="001E098C"/>
    <w:rsid w:val="001E22D1"/>
    <w:rsid w:val="00202813"/>
    <w:rsid w:val="0022197C"/>
    <w:rsid w:val="002D1B2D"/>
    <w:rsid w:val="00313358"/>
    <w:rsid w:val="003A33F3"/>
    <w:rsid w:val="003D1BBD"/>
    <w:rsid w:val="004316A8"/>
    <w:rsid w:val="00446C0A"/>
    <w:rsid w:val="0047315C"/>
    <w:rsid w:val="00495404"/>
    <w:rsid w:val="004A5611"/>
    <w:rsid w:val="004C44D2"/>
    <w:rsid w:val="004F358D"/>
    <w:rsid w:val="00505418"/>
    <w:rsid w:val="00550DA9"/>
    <w:rsid w:val="00585665"/>
    <w:rsid w:val="005A38F7"/>
    <w:rsid w:val="005B0084"/>
    <w:rsid w:val="005C570F"/>
    <w:rsid w:val="005F296B"/>
    <w:rsid w:val="00696536"/>
    <w:rsid w:val="006C3743"/>
    <w:rsid w:val="006D0A14"/>
    <w:rsid w:val="006F7C45"/>
    <w:rsid w:val="00723CBC"/>
    <w:rsid w:val="0073387E"/>
    <w:rsid w:val="00762EE2"/>
    <w:rsid w:val="007B2075"/>
    <w:rsid w:val="00811BD7"/>
    <w:rsid w:val="008378F7"/>
    <w:rsid w:val="00895459"/>
    <w:rsid w:val="009005E5"/>
    <w:rsid w:val="00922731"/>
    <w:rsid w:val="0093006E"/>
    <w:rsid w:val="00982203"/>
    <w:rsid w:val="00987887"/>
    <w:rsid w:val="009C0D29"/>
    <w:rsid w:val="00A01D32"/>
    <w:rsid w:val="00AC017A"/>
    <w:rsid w:val="00AF08F1"/>
    <w:rsid w:val="00B21B1E"/>
    <w:rsid w:val="00B40836"/>
    <w:rsid w:val="00B900EB"/>
    <w:rsid w:val="00BA26EA"/>
    <w:rsid w:val="00BA56DF"/>
    <w:rsid w:val="00BE7B6D"/>
    <w:rsid w:val="00C07E8A"/>
    <w:rsid w:val="00C8393B"/>
    <w:rsid w:val="00C84320"/>
    <w:rsid w:val="00CA1354"/>
    <w:rsid w:val="00D01A38"/>
    <w:rsid w:val="00D2265D"/>
    <w:rsid w:val="00D81C95"/>
    <w:rsid w:val="00D833CC"/>
    <w:rsid w:val="00EB0D33"/>
    <w:rsid w:val="00EB63EC"/>
    <w:rsid w:val="00EB6958"/>
    <w:rsid w:val="00EC0B9B"/>
    <w:rsid w:val="00F45355"/>
    <w:rsid w:val="00F71E52"/>
    <w:rsid w:val="00F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587F5-1088-4094-A54D-7F646FFE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168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13</cp:revision>
  <dcterms:created xsi:type="dcterms:W3CDTF">2024-03-26T16:14:00Z</dcterms:created>
  <dcterms:modified xsi:type="dcterms:W3CDTF">2024-05-02T12:26:00Z</dcterms:modified>
</cp:coreProperties>
</file>